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637" w:rsidRPr="00301637" w:rsidRDefault="00301637" w:rsidP="00301637">
      <w:pPr>
        <w:pStyle w:val="metin"/>
        <w:spacing w:before="0" w:beforeAutospacing="0" w:after="0" w:afterAutospacing="0"/>
        <w:ind w:firstLine="566"/>
        <w:rPr>
          <w:rFonts w:asciiTheme="minorHAnsi" w:hAnsiTheme="minorHAnsi" w:cstheme="minorHAnsi"/>
        </w:rPr>
      </w:pPr>
      <w:r w:rsidRPr="00301637">
        <w:rPr>
          <w:rFonts w:asciiTheme="minorHAnsi" w:hAnsiTheme="minorHAnsi" w:cstheme="minorHAnsi"/>
        </w:rPr>
        <w:t xml:space="preserve">Resmî Gazete Tarihi: 02.05.2021 </w:t>
      </w:r>
      <w:r w:rsidRPr="00301637">
        <w:rPr>
          <w:rFonts w:asciiTheme="minorHAnsi" w:hAnsiTheme="minorHAnsi" w:cstheme="minorHAnsi"/>
        </w:rPr>
        <w:t xml:space="preserve"> </w:t>
      </w:r>
      <w:r w:rsidRPr="00301637">
        <w:rPr>
          <w:rFonts w:asciiTheme="minorHAnsi" w:hAnsiTheme="minorHAnsi" w:cstheme="minorHAnsi"/>
        </w:rPr>
        <w:tab/>
      </w:r>
      <w:r w:rsidRPr="00301637">
        <w:rPr>
          <w:rFonts w:asciiTheme="minorHAnsi" w:hAnsiTheme="minorHAnsi" w:cstheme="minorHAnsi"/>
        </w:rPr>
        <w:tab/>
      </w:r>
      <w:r w:rsidRPr="00301637">
        <w:rPr>
          <w:rFonts w:asciiTheme="minorHAnsi" w:hAnsiTheme="minorHAnsi" w:cstheme="minorHAnsi"/>
        </w:rPr>
        <w:tab/>
      </w:r>
      <w:r w:rsidRPr="00301637">
        <w:rPr>
          <w:rFonts w:asciiTheme="minorHAnsi" w:hAnsiTheme="minorHAnsi" w:cstheme="minorHAnsi"/>
        </w:rPr>
        <w:t>Resmî Gazete Sa</w:t>
      </w:r>
      <w:bookmarkStart w:id="0" w:name="_GoBack"/>
      <w:bookmarkEnd w:id="0"/>
      <w:r w:rsidRPr="00301637">
        <w:rPr>
          <w:rFonts w:asciiTheme="minorHAnsi" w:hAnsiTheme="minorHAnsi" w:cstheme="minorHAnsi"/>
        </w:rPr>
        <w:t>yısı: 31472</w:t>
      </w:r>
    </w:p>
    <w:p w:rsidR="00301637" w:rsidRPr="00301637" w:rsidRDefault="00301637" w:rsidP="00301637">
      <w:pPr>
        <w:pStyle w:val="metin"/>
        <w:spacing w:before="0" w:beforeAutospacing="0" w:after="0" w:afterAutospacing="0"/>
        <w:ind w:firstLine="566"/>
        <w:rPr>
          <w:rFonts w:asciiTheme="minorHAnsi" w:hAnsiTheme="minorHAnsi" w:cstheme="minorHAnsi"/>
          <w:b/>
          <w:bCs/>
          <w:color w:val="000000"/>
          <w:sz w:val="22"/>
          <w:szCs w:val="22"/>
        </w:rPr>
      </w:pPr>
    </w:p>
    <w:p w:rsidR="00301637" w:rsidRPr="00301637" w:rsidRDefault="00301637" w:rsidP="00301637">
      <w:pPr>
        <w:pStyle w:val="ortabalkbold"/>
        <w:spacing w:before="0" w:beforeAutospacing="0" w:after="0" w:afterAutospacing="0"/>
        <w:jc w:val="center"/>
        <w:rPr>
          <w:rFonts w:asciiTheme="minorHAnsi" w:hAnsiTheme="minorHAnsi" w:cstheme="minorHAnsi"/>
        </w:rPr>
      </w:pPr>
      <w:r w:rsidRPr="00301637">
        <w:rPr>
          <w:rFonts w:asciiTheme="minorHAnsi" w:hAnsiTheme="minorHAnsi" w:cstheme="minorHAnsi"/>
          <w:b/>
          <w:bCs/>
          <w:color w:val="000000"/>
          <w:sz w:val="22"/>
          <w:szCs w:val="22"/>
        </w:rPr>
        <w:t>MALTEPE ÜNİVERSİTESİ LİSANSÜSTÜ EĞİTİM VE</w:t>
      </w:r>
    </w:p>
    <w:p w:rsidR="00301637" w:rsidRPr="00301637" w:rsidRDefault="00301637" w:rsidP="00301637">
      <w:pPr>
        <w:pStyle w:val="ortabalkbold"/>
        <w:spacing w:before="0" w:beforeAutospacing="0" w:after="0" w:afterAutospacing="0"/>
        <w:jc w:val="center"/>
        <w:rPr>
          <w:rFonts w:asciiTheme="minorHAnsi" w:hAnsiTheme="minorHAnsi" w:cstheme="minorHAnsi"/>
        </w:rPr>
      </w:pPr>
      <w:r w:rsidRPr="00301637">
        <w:rPr>
          <w:rFonts w:asciiTheme="minorHAnsi" w:hAnsiTheme="minorHAnsi" w:cstheme="minorHAnsi"/>
          <w:b/>
          <w:bCs/>
          <w:color w:val="000000"/>
          <w:sz w:val="22"/>
          <w:szCs w:val="22"/>
        </w:rPr>
        <w:t>ÖĞRETİM YÖNETMELİĞİ</w:t>
      </w:r>
    </w:p>
    <w:p w:rsidR="00301637" w:rsidRDefault="00301637" w:rsidP="00301637">
      <w:pPr>
        <w:pStyle w:val="metin"/>
        <w:spacing w:before="0" w:beforeAutospacing="0" w:after="0" w:afterAutospacing="0"/>
        <w:ind w:firstLine="566"/>
        <w:jc w:val="both"/>
        <w:rPr>
          <w:rFonts w:ascii="Calibri" w:hAnsi="Calibri" w:cs="Calibri"/>
          <w:b/>
          <w:bCs/>
          <w:color w:val="000000"/>
          <w:sz w:val="22"/>
          <w:szCs w:val="22"/>
        </w:rPr>
      </w:pPr>
    </w:p>
    <w:p w:rsidR="00301637" w:rsidRDefault="00301637" w:rsidP="00301637">
      <w:pPr>
        <w:pStyle w:val="metin"/>
        <w:spacing w:before="0" w:beforeAutospacing="0" w:after="0" w:afterAutospacing="0"/>
        <w:ind w:firstLine="566"/>
        <w:jc w:val="both"/>
        <w:rPr>
          <w:rFonts w:ascii="Calibri" w:hAnsi="Calibri" w:cs="Calibri"/>
          <w:b/>
          <w:bCs/>
          <w:color w:val="000000"/>
          <w:sz w:val="22"/>
          <w:szCs w:val="22"/>
        </w:rPr>
      </w:pPr>
    </w:p>
    <w:p w:rsidR="00301637" w:rsidRDefault="00301637" w:rsidP="00301637">
      <w:pPr>
        <w:pStyle w:val="metin"/>
        <w:spacing w:before="0" w:beforeAutospacing="0" w:after="0" w:afterAutospacing="0"/>
        <w:ind w:firstLine="566"/>
        <w:jc w:val="both"/>
      </w:pPr>
      <w:r>
        <w:rPr>
          <w:rFonts w:ascii="Calibri" w:hAnsi="Calibri" w:cs="Calibri"/>
          <w:b/>
          <w:bCs/>
          <w:color w:val="000000"/>
          <w:sz w:val="22"/>
          <w:szCs w:val="22"/>
        </w:rPr>
        <w:t>Geçiş hükümleri ve intibak</w:t>
      </w:r>
    </w:p>
    <w:p w:rsidR="00301637" w:rsidRDefault="00301637" w:rsidP="00301637">
      <w:pPr>
        <w:pStyle w:val="metin"/>
        <w:spacing w:before="0" w:beforeAutospacing="0" w:after="0" w:afterAutospacing="0"/>
        <w:ind w:firstLine="566"/>
        <w:jc w:val="both"/>
      </w:pPr>
      <w:r>
        <w:rPr>
          <w:rFonts w:ascii="Calibri" w:hAnsi="Calibri" w:cs="Calibri"/>
          <w:b/>
          <w:bCs/>
          <w:color w:val="000000"/>
          <w:sz w:val="22"/>
          <w:szCs w:val="22"/>
        </w:rPr>
        <w:t>GEÇİCİ MADDE 1 – </w:t>
      </w:r>
      <w:r>
        <w:rPr>
          <w:rFonts w:ascii="Calibri" w:hAnsi="Calibri" w:cs="Calibri"/>
          <w:color w:val="000000"/>
          <w:sz w:val="22"/>
          <w:szCs w:val="22"/>
        </w:rPr>
        <w:t>(1) 6/2/2013 tarihinden önce tezsiz yüksek lisans programlarına kayıtlı olan veya mezun olan öğrenciler doktora/sanatta yeterlik programlarına başvurabilir.</w:t>
      </w:r>
    </w:p>
    <w:p w:rsidR="00301637" w:rsidRPr="00301637" w:rsidRDefault="00301637" w:rsidP="00301637">
      <w:pPr>
        <w:pStyle w:val="metin"/>
        <w:spacing w:before="0" w:beforeAutospacing="0" w:after="0" w:afterAutospacing="0"/>
        <w:ind w:firstLine="566"/>
        <w:jc w:val="both"/>
        <w:rPr>
          <w:b/>
          <w:u w:val="single"/>
        </w:rPr>
      </w:pPr>
      <w:r>
        <w:rPr>
          <w:rFonts w:ascii="Calibri" w:hAnsi="Calibri" w:cs="Calibri"/>
          <w:color w:val="000000"/>
          <w:sz w:val="22"/>
          <w:szCs w:val="22"/>
        </w:rPr>
        <w:t xml:space="preserve">(2) 40 </w:t>
      </w:r>
      <w:proofErr w:type="spellStart"/>
      <w:r>
        <w:rPr>
          <w:rFonts w:ascii="Calibri" w:hAnsi="Calibri" w:cs="Calibri"/>
          <w:color w:val="000000"/>
          <w:sz w:val="22"/>
          <w:szCs w:val="22"/>
        </w:rPr>
        <w:t>ıncı</w:t>
      </w:r>
      <w:proofErr w:type="spellEnd"/>
      <w:r>
        <w:rPr>
          <w:rFonts w:ascii="Calibri" w:hAnsi="Calibri" w:cs="Calibri"/>
          <w:color w:val="000000"/>
          <w:sz w:val="22"/>
          <w:szCs w:val="22"/>
        </w:rPr>
        <w:t xml:space="preserve"> ve 48 inci maddelerin üçüncü fıkrasında geçen </w:t>
      </w:r>
      <w:r w:rsidRPr="00301637">
        <w:rPr>
          <w:rFonts w:ascii="Calibri" w:hAnsi="Calibri" w:cs="Calibri"/>
          <w:b/>
          <w:color w:val="000000"/>
          <w:sz w:val="22"/>
          <w:szCs w:val="22"/>
          <w:u w:val="single"/>
        </w:rPr>
        <w:t>akademik yayın şartı koşulu 2019-2020 eğitim-öğretim yılı bahar yarıyılı öncesinde doktora ve sanatta yeterlik programlarına kayıt yaptıran öğrenciler için uygulanmaz.</w:t>
      </w:r>
    </w:p>
    <w:p w:rsidR="00301637" w:rsidRDefault="00301637" w:rsidP="00301637">
      <w:pPr>
        <w:pStyle w:val="metin"/>
        <w:spacing w:before="0" w:beforeAutospacing="0" w:after="0" w:afterAutospacing="0"/>
        <w:ind w:firstLine="566"/>
        <w:jc w:val="both"/>
        <w:rPr>
          <w:rFonts w:ascii="Calibri" w:hAnsi="Calibri" w:cs="Calibri"/>
          <w:b/>
          <w:bCs/>
          <w:color w:val="000000"/>
          <w:sz w:val="22"/>
          <w:szCs w:val="22"/>
        </w:rPr>
      </w:pPr>
    </w:p>
    <w:p w:rsidR="00301637" w:rsidRDefault="00301637" w:rsidP="00301637">
      <w:pPr>
        <w:pStyle w:val="metin"/>
        <w:spacing w:before="0" w:beforeAutospacing="0" w:after="0" w:afterAutospacing="0"/>
        <w:ind w:firstLine="566"/>
        <w:jc w:val="both"/>
        <w:rPr>
          <w:rFonts w:ascii="Calibri" w:hAnsi="Calibri" w:cs="Calibri"/>
          <w:b/>
          <w:bCs/>
          <w:color w:val="000000"/>
          <w:sz w:val="22"/>
          <w:szCs w:val="22"/>
        </w:rPr>
      </w:pPr>
    </w:p>
    <w:p w:rsidR="00301637" w:rsidRDefault="00301637" w:rsidP="00301637">
      <w:pPr>
        <w:pStyle w:val="metin"/>
        <w:spacing w:before="0" w:beforeAutospacing="0" w:after="0" w:afterAutospacing="0"/>
        <w:ind w:firstLine="566"/>
        <w:jc w:val="both"/>
      </w:pPr>
      <w:r>
        <w:rPr>
          <w:rFonts w:ascii="Calibri" w:hAnsi="Calibri" w:cs="Calibri"/>
          <w:b/>
          <w:bCs/>
          <w:color w:val="000000"/>
          <w:sz w:val="22"/>
          <w:szCs w:val="22"/>
        </w:rPr>
        <w:t>Doktora tezinin hazırlanması ve sonuçlandırılması</w:t>
      </w:r>
    </w:p>
    <w:p w:rsidR="00301637" w:rsidRDefault="00301637" w:rsidP="00301637">
      <w:pPr>
        <w:pStyle w:val="metin"/>
        <w:spacing w:before="0" w:beforeAutospacing="0" w:after="0" w:afterAutospacing="0"/>
        <w:ind w:firstLine="566"/>
        <w:jc w:val="both"/>
      </w:pPr>
      <w:r>
        <w:rPr>
          <w:rFonts w:ascii="Calibri" w:hAnsi="Calibri" w:cs="Calibri"/>
          <w:b/>
          <w:bCs/>
          <w:color w:val="000000"/>
          <w:sz w:val="22"/>
          <w:szCs w:val="22"/>
        </w:rPr>
        <w:t>MADDE 40 – </w:t>
      </w:r>
      <w:r>
        <w:rPr>
          <w:rFonts w:ascii="Calibri" w:hAnsi="Calibri" w:cs="Calibri"/>
          <w:color w:val="000000"/>
          <w:sz w:val="22"/>
          <w:szCs w:val="22"/>
        </w:rPr>
        <w:t>(1) Doktora programındaki bir öğrenci, elde ettiği sonuçları Senato tarafından onaylanmış tez yazım kurallarına uygun biçimde yazar ve tezini jüri önünde sözlü olarak savunur.</w:t>
      </w:r>
    </w:p>
    <w:p w:rsidR="00301637" w:rsidRDefault="00301637" w:rsidP="00301637">
      <w:pPr>
        <w:pStyle w:val="metin"/>
        <w:spacing w:before="0" w:beforeAutospacing="0" w:after="0" w:afterAutospacing="0"/>
        <w:ind w:firstLine="566"/>
        <w:jc w:val="both"/>
      </w:pPr>
      <w:r>
        <w:rPr>
          <w:rFonts w:ascii="Calibri" w:hAnsi="Calibri" w:cs="Calibri"/>
          <w:color w:val="000000"/>
          <w:sz w:val="22"/>
          <w:szCs w:val="22"/>
        </w:rPr>
        <w:t>(2) Öğrencinin tezinin sonuçlanabilmesi için en az üç başarılı tez izleme komitesi raporu sunulması gerekir.</w:t>
      </w:r>
    </w:p>
    <w:p w:rsidR="00301637" w:rsidRPr="00301637" w:rsidRDefault="00301637" w:rsidP="00301637">
      <w:pPr>
        <w:pStyle w:val="metin"/>
        <w:spacing w:before="0" w:beforeAutospacing="0" w:after="0" w:afterAutospacing="0"/>
        <w:ind w:firstLine="566"/>
        <w:jc w:val="both"/>
        <w:rPr>
          <w:b/>
        </w:rPr>
      </w:pPr>
      <w:r>
        <w:rPr>
          <w:rFonts w:ascii="Calibri" w:hAnsi="Calibri" w:cs="Calibri"/>
          <w:color w:val="000000"/>
          <w:sz w:val="22"/>
          <w:szCs w:val="22"/>
        </w:rPr>
        <w:t xml:space="preserve">(3) </w:t>
      </w:r>
      <w:r w:rsidRPr="00301637">
        <w:rPr>
          <w:rFonts w:ascii="Calibri" w:hAnsi="Calibri" w:cs="Calibri"/>
          <w:b/>
          <w:color w:val="000000"/>
          <w:sz w:val="22"/>
          <w:szCs w:val="22"/>
        </w:rPr>
        <w:t>Tez savunma jürisinin kurulabilmesi için öğrencinin, doktora yaptığı alanda tez danışmanıyla ya da tez danışmanının onayıyla yapılmış en az bir akademik yayın koşulunu yerine getirmiş ya da yayına kabul mektubu almış olması gerekir. Söz konusu akademik yayının niteliği Senato kararıyla belirlenir. Yapılan yayının mezuniyet koşulunu karşılaması için öğrencinin ya da danışmanının birinci yazar veya sorumlu olması gerekir. Üniversite adının yayınlar, basılı ve görsel materyallerle yazışmalarda gösterilmesi zorunludur. Öğrenci söz konusu akademik yayın koşullarını yerine getirdiğini belgeleyip tez danışmanının onayını da alarak ilgili anabilim/</w:t>
      </w:r>
      <w:proofErr w:type="spellStart"/>
      <w:r w:rsidRPr="00301637">
        <w:rPr>
          <w:rFonts w:ascii="Calibri" w:hAnsi="Calibri" w:cs="Calibri"/>
          <w:b/>
          <w:color w:val="000000"/>
          <w:sz w:val="22"/>
          <w:szCs w:val="22"/>
        </w:rPr>
        <w:t>anasanat</w:t>
      </w:r>
      <w:proofErr w:type="spellEnd"/>
      <w:r w:rsidRPr="00301637">
        <w:rPr>
          <w:rFonts w:ascii="Calibri" w:hAnsi="Calibri" w:cs="Calibri"/>
          <w:b/>
          <w:color w:val="000000"/>
          <w:sz w:val="22"/>
          <w:szCs w:val="22"/>
        </w:rPr>
        <w:t xml:space="preserve"> dalı başkanlığı aracılığıyla Enstitüye başvurur.</w:t>
      </w:r>
    </w:p>
    <w:p w:rsidR="00301637" w:rsidRDefault="00301637" w:rsidP="00301637">
      <w:pPr>
        <w:pStyle w:val="metin"/>
        <w:spacing w:before="0" w:beforeAutospacing="0" w:after="0" w:afterAutospacing="0"/>
        <w:ind w:firstLine="566"/>
        <w:jc w:val="both"/>
      </w:pPr>
      <w:r>
        <w:rPr>
          <w:rFonts w:ascii="Calibri" w:hAnsi="Calibri" w:cs="Calibri"/>
          <w:color w:val="000000"/>
          <w:sz w:val="22"/>
          <w:szCs w:val="22"/>
        </w:rPr>
        <w:t>(4) Doktora tezinin savunulmasından önce ve düzeltme verilen tezlerde ise düzeltmeyle birlikte öğrenci tezini tamamlayarak danışmanına sunar. Danışman tezi, savunulabilir olduğuna ilişkin yazılı görüşüyle birlikte Enstitüye teslim eder. Danışman söz konusu teze ilişkin intihal yazılım programı raporunu alarak Enstitüye sunar. Enstitü intihal yazılım programı raporunu ilgili jüri üyelerine gönderir. Rapordaki verilerde intihalin tespiti halinde tez, gerekçesiyle birlikte karar verilmek üzere Enstitü Yönetim Kuruluna gönderilir.</w:t>
      </w:r>
    </w:p>
    <w:p w:rsidR="00301637" w:rsidRDefault="00301637" w:rsidP="00301637">
      <w:pPr>
        <w:pStyle w:val="metin"/>
        <w:spacing w:before="0" w:beforeAutospacing="0" w:after="0" w:afterAutospacing="0"/>
        <w:ind w:firstLine="566"/>
        <w:jc w:val="both"/>
      </w:pPr>
      <w:r>
        <w:rPr>
          <w:rFonts w:ascii="Calibri" w:hAnsi="Calibri" w:cs="Calibri"/>
          <w:color w:val="000000"/>
          <w:sz w:val="22"/>
          <w:szCs w:val="22"/>
        </w:rPr>
        <w:t>(5) Doktora tez savunması jürisi, jürinin uzmanlık alanları dikkate alınarak, danışman, ilgili anabilim/</w:t>
      </w:r>
      <w:proofErr w:type="spellStart"/>
      <w:r>
        <w:rPr>
          <w:rFonts w:ascii="Calibri" w:hAnsi="Calibri" w:cs="Calibri"/>
          <w:color w:val="000000"/>
          <w:sz w:val="22"/>
          <w:szCs w:val="22"/>
        </w:rPr>
        <w:t>anasanat</w:t>
      </w:r>
      <w:proofErr w:type="spellEnd"/>
      <w:r>
        <w:rPr>
          <w:rFonts w:ascii="Calibri" w:hAnsi="Calibri" w:cs="Calibri"/>
          <w:color w:val="000000"/>
          <w:sz w:val="22"/>
          <w:szCs w:val="22"/>
        </w:rPr>
        <w:t xml:space="preserve"> dalı başkanlığının önerisi ve Enstitü Yönetim Kurulunun onayıyla atanır. Jüri, üçü öğrencinin tez izleme komitesinde yer alan öğretim üyeleri ve en az ikisi Üniversite dışından olmak üzere danışman dâhil beş öğretim üyesinden oluşur. Danışmanın oy hakkı olup olmadığı hususunda Enstitü Yönetim Kurulu karar verir. Danışmanın oy hakkı olmaması durumunda jüri altı öğretim üyesinden oluşur. Ayrıca ikinci tez danışmanı oy hakkı olmaksızın jüride yer alabilir.</w:t>
      </w:r>
    </w:p>
    <w:p w:rsidR="00301637" w:rsidRDefault="00301637" w:rsidP="00301637">
      <w:pPr>
        <w:pStyle w:val="metin"/>
        <w:spacing w:before="0" w:beforeAutospacing="0" w:after="0" w:afterAutospacing="0"/>
        <w:ind w:firstLine="566"/>
        <w:jc w:val="both"/>
      </w:pPr>
      <w:r>
        <w:rPr>
          <w:rFonts w:ascii="Calibri" w:hAnsi="Calibri" w:cs="Calibri"/>
          <w:color w:val="000000"/>
          <w:sz w:val="22"/>
          <w:szCs w:val="22"/>
        </w:rPr>
        <w:t>(6) Tez savunma sürecine ilişkin diğer hususlar Senatonun belirlediği esaslara göre yürütülür.</w:t>
      </w:r>
    </w:p>
    <w:p w:rsidR="00301637" w:rsidRDefault="00301637" w:rsidP="00301637">
      <w:pPr>
        <w:pStyle w:val="metin"/>
        <w:spacing w:before="0" w:beforeAutospacing="0" w:after="0" w:afterAutospacing="0"/>
        <w:ind w:firstLine="566"/>
        <w:jc w:val="both"/>
      </w:pPr>
      <w:r>
        <w:rPr>
          <w:rFonts w:ascii="Calibri" w:hAnsi="Calibri" w:cs="Calibri"/>
          <w:color w:val="000000"/>
          <w:sz w:val="22"/>
          <w:szCs w:val="22"/>
        </w:rPr>
        <w:t>(7) Jüri üyeleri, söz konusu tezin kendilerine teslim edildiği tarihten itibaren en geç bir ay içinde toplanarak öğrenciyi tez savunma sınavına alır. Tez savunma sınavı, tez çalışmasının sunulması ve bunu izleyen soru-cevap bölümünden oluşur. Tez savunma sınavı, öğretim elemanları, lisansüstü öğrenciler ve alanın uzmanlarından oluşan dinleyicilerin katılımına açık ortamlarda gerçekleştirilir.</w:t>
      </w:r>
    </w:p>
    <w:p w:rsidR="00301637" w:rsidRDefault="00301637" w:rsidP="00301637">
      <w:pPr>
        <w:pStyle w:val="metin"/>
        <w:spacing w:before="0" w:beforeAutospacing="0" w:after="0" w:afterAutospacing="0"/>
        <w:ind w:firstLine="566"/>
        <w:jc w:val="both"/>
      </w:pPr>
      <w:r>
        <w:rPr>
          <w:rFonts w:ascii="Calibri" w:hAnsi="Calibri" w:cs="Calibri"/>
          <w:color w:val="000000"/>
          <w:sz w:val="22"/>
          <w:szCs w:val="22"/>
        </w:rPr>
        <w:t>(8) Tez savunma sınavının tamamlanmasından sonra jüri, dinleyicilere kapalı olarak tez hakkında, salt çoğunlukla kabul, ret veya düzeltme kararı verir. Karar, ilgili ana bilim/</w:t>
      </w:r>
      <w:proofErr w:type="spellStart"/>
      <w:r>
        <w:rPr>
          <w:rFonts w:ascii="Calibri" w:hAnsi="Calibri" w:cs="Calibri"/>
          <w:color w:val="000000"/>
          <w:sz w:val="22"/>
          <w:szCs w:val="22"/>
        </w:rPr>
        <w:t>anasanat</w:t>
      </w:r>
      <w:proofErr w:type="spellEnd"/>
      <w:r>
        <w:rPr>
          <w:rFonts w:ascii="Calibri" w:hAnsi="Calibri" w:cs="Calibri"/>
          <w:color w:val="000000"/>
          <w:sz w:val="22"/>
          <w:szCs w:val="22"/>
        </w:rPr>
        <w:t xml:space="preserve"> dalı başkanlığı tarafından sınavı izleyen üç iş günü içinde kişisel değerlendirme raporlarıyla birlikte Enstitüye tutanakla bildirilir. Ret kararı veren jüri üye/üyelerinin gerekçesi tutanağa eklenir. Tezi başarısız bulunarak reddedilen öğrencinin Enstitüyle ilişiği kesilir.</w:t>
      </w:r>
    </w:p>
    <w:p w:rsidR="00301637" w:rsidRDefault="00301637" w:rsidP="00301637">
      <w:pPr>
        <w:pStyle w:val="metin"/>
        <w:spacing w:before="0" w:beforeAutospacing="0" w:after="0" w:afterAutospacing="0"/>
        <w:ind w:firstLine="566"/>
        <w:jc w:val="both"/>
      </w:pPr>
      <w:r>
        <w:rPr>
          <w:rFonts w:ascii="Calibri" w:hAnsi="Calibri" w:cs="Calibri"/>
          <w:color w:val="000000"/>
          <w:sz w:val="22"/>
          <w:szCs w:val="22"/>
        </w:rPr>
        <w:t>(9) Tezi hakkında düzeltme kararı verilen öğrenci, en geç altı ay içinde gerekli düzeltmeleri yaparak aynı jüri önünde tezini yeniden savunur. Bu savunmada da başarısız bulunan öğrencinin Enstitüyle ilişiği kesilir.</w:t>
      </w:r>
    </w:p>
    <w:p w:rsidR="00301637" w:rsidRDefault="00301637" w:rsidP="00301637">
      <w:pPr>
        <w:pStyle w:val="metin"/>
        <w:spacing w:before="0" w:beforeAutospacing="0" w:after="0" w:afterAutospacing="0"/>
        <w:ind w:firstLine="566"/>
        <w:jc w:val="both"/>
      </w:pPr>
      <w:r>
        <w:rPr>
          <w:rFonts w:ascii="Calibri" w:hAnsi="Calibri" w:cs="Calibri"/>
          <w:b/>
          <w:bCs/>
          <w:color w:val="000000"/>
          <w:sz w:val="22"/>
          <w:szCs w:val="22"/>
        </w:rPr>
        <w:lastRenderedPageBreak/>
        <w:t>Sanatta yeterlik çalışmasının hazırlanması ve sonuçlandırılması</w:t>
      </w:r>
    </w:p>
    <w:p w:rsidR="00301637" w:rsidRDefault="00301637" w:rsidP="00301637">
      <w:pPr>
        <w:pStyle w:val="metin"/>
        <w:spacing w:before="0" w:beforeAutospacing="0" w:after="0" w:afterAutospacing="0"/>
        <w:ind w:firstLine="566"/>
        <w:jc w:val="both"/>
      </w:pPr>
      <w:proofErr w:type="gramStart"/>
      <w:r>
        <w:rPr>
          <w:rFonts w:ascii="Calibri" w:hAnsi="Calibri" w:cs="Calibri"/>
          <w:b/>
          <w:bCs/>
          <w:color w:val="000000"/>
          <w:sz w:val="22"/>
          <w:szCs w:val="22"/>
        </w:rPr>
        <w:t>MADDE 48 – </w:t>
      </w:r>
      <w:r>
        <w:rPr>
          <w:rFonts w:ascii="Calibri" w:hAnsi="Calibri" w:cs="Calibri"/>
          <w:color w:val="000000"/>
          <w:sz w:val="22"/>
          <w:szCs w:val="22"/>
        </w:rPr>
        <w:t>(1) Sanatta yeterlik programındaki bir öğrenci elde ettiği sonuçları, sergi, proje, resital, konser, temsil, film ve gösterim gibi çalışmasını açıklayan ve belgeleyen metni ilgili Senato tarafından kabul edilen yazım kurallarına uygun biçimde yazarak, tez, sergi, proje, resital, konser, temsil, film ve gösterim gibi çalışmalarını jüri önünde sözlü olarak savunur.</w:t>
      </w:r>
      <w:proofErr w:type="gramEnd"/>
    </w:p>
    <w:p w:rsidR="00301637" w:rsidRDefault="00301637" w:rsidP="00301637">
      <w:pPr>
        <w:pStyle w:val="metin"/>
        <w:spacing w:before="0" w:beforeAutospacing="0" w:after="0" w:afterAutospacing="0"/>
        <w:ind w:firstLine="566"/>
        <w:jc w:val="both"/>
      </w:pPr>
      <w:r>
        <w:rPr>
          <w:rFonts w:ascii="Calibri" w:hAnsi="Calibri" w:cs="Calibri"/>
          <w:color w:val="000000"/>
          <w:sz w:val="22"/>
          <w:szCs w:val="22"/>
        </w:rPr>
        <w:t>(2) Öğrencinin tezinin sonuçlanabilmesi için en az üç başarılı tez izleme komitesi raporu sunulması gerekir.</w:t>
      </w:r>
    </w:p>
    <w:p w:rsidR="00301637" w:rsidRPr="00301637" w:rsidRDefault="00301637" w:rsidP="00301637">
      <w:pPr>
        <w:pStyle w:val="metin"/>
        <w:spacing w:before="0" w:beforeAutospacing="0" w:after="0" w:afterAutospacing="0"/>
        <w:ind w:firstLine="566"/>
        <w:jc w:val="both"/>
        <w:rPr>
          <w:b/>
        </w:rPr>
      </w:pPr>
      <w:r>
        <w:rPr>
          <w:rFonts w:ascii="Calibri" w:hAnsi="Calibri" w:cs="Calibri"/>
          <w:color w:val="000000"/>
          <w:sz w:val="22"/>
          <w:szCs w:val="22"/>
        </w:rPr>
        <w:t xml:space="preserve">(3) </w:t>
      </w:r>
      <w:r w:rsidRPr="00301637">
        <w:rPr>
          <w:rFonts w:ascii="Calibri" w:hAnsi="Calibri" w:cs="Calibri"/>
          <w:b/>
          <w:color w:val="000000"/>
          <w:sz w:val="22"/>
          <w:szCs w:val="22"/>
        </w:rPr>
        <w:t xml:space="preserve">Tez savunma jürisinin kurulabilmesi için öğrenci, sanatta yeterlik yaptığı alanda tez danışmanıyla ya da tez danışmanının onayıyla yapılmış en az bir sanatsal etkinlik veya akademik yayın koşulunu yerine getirmiş ya da yayına kabul mektubu almış olması gerekir. Söz konusu akademik yayının niteliği Senato kararıyla belirlenir. Yapılan yayının mezuniyet koşulunu karşılaması için öğrencinin ya da danışmanının birinci yazar veya sorumlu olması gerekir. Üniversite adının yayınlar, basılı ve görsel materyallerle yazışmalarda gösterilmesi zorunludur. Öğrenci, söz konusu akademik yayın koşullarını yerine getirdiğini belgeleyip tez danışmanının onayını da alarak ilgili </w:t>
      </w:r>
      <w:proofErr w:type="spellStart"/>
      <w:r w:rsidRPr="00301637">
        <w:rPr>
          <w:rFonts w:ascii="Calibri" w:hAnsi="Calibri" w:cs="Calibri"/>
          <w:b/>
          <w:color w:val="000000"/>
          <w:sz w:val="22"/>
          <w:szCs w:val="22"/>
        </w:rPr>
        <w:t>anasanat</w:t>
      </w:r>
      <w:proofErr w:type="spellEnd"/>
      <w:r w:rsidRPr="00301637">
        <w:rPr>
          <w:rFonts w:ascii="Calibri" w:hAnsi="Calibri" w:cs="Calibri"/>
          <w:b/>
          <w:color w:val="000000"/>
          <w:sz w:val="22"/>
          <w:szCs w:val="22"/>
        </w:rPr>
        <w:t xml:space="preserve"> dalı başkanlığı aracılığıyla Enstitüye başvurur.</w:t>
      </w:r>
    </w:p>
    <w:p w:rsidR="00301637" w:rsidRDefault="00301637" w:rsidP="00301637">
      <w:pPr>
        <w:pStyle w:val="metin"/>
        <w:spacing w:before="0" w:beforeAutospacing="0" w:after="0" w:afterAutospacing="0"/>
        <w:ind w:firstLine="566"/>
        <w:jc w:val="both"/>
      </w:pPr>
      <w:r>
        <w:rPr>
          <w:rFonts w:ascii="Calibri" w:hAnsi="Calibri" w:cs="Calibri"/>
          <w:color w:val="000000"/>
          <w:sz w:val="22"/>
          <w:szCs w:val="22"/>
        </w:rPr>
        <w:t>(4) Sanatta yeterlik çalışmasının savunmasından önce ve düzeltme verilen tez ise düzeltmeyle birlikte öğrenci tez çalışmasını tamamlayarak danışmanına sunar. Danışman tezi, savunulabilir olduğuna ilişkin yazılı görüşüyle birlikte Enstitüye teslim eder. Danışman söz konusu teze ilişkin intihal yazılım programı raporunu alarak Enstitüye sunar. Enstitü intihal yazılım programı raporunu ilgili jüri üyelerine gönderir. Rapordaki verilerde intihalin tespiti halinde tez, gerekçesiyle birlikte karar verilmek üzere Enstitü Yönetim Kuruluna gönderilir.</w:t>
      </w:r>
    </w:p>
    <w:p w:rsidR="00301637" w:rsidRDefault="00301637" w:rsidP="00301637">
      <w:pPr>
        <w:pStyle w:val="metin"/>
        <w:spacing w:before="0" w:beforeAutospacing="0" w:after="0" w:afterAutospacing="0"/>
        <w:ind w:firstLine="566"/>
        <w:jc w:val="both"/>
      </w:pPr>
      <w:r>
        <w:rPr>
          <w:rFonts w:ascii="Calibri" w:hAnsi="Calibri" w:cs="Calibri"/>
          <w:color w:val="000000"/>
          <w:sz w:val="22"/>
          <w:szCs w:val="22"/>
        </w:rPr>
        <w:t xml:space="preserve">(5) Sanatta yeterlik jürisi; danışman, ilgili </w:t>
      </w:r>
      <w:proofErr w:type="spellStart"/>
      <w:r>
        <w:rPr>
          <w:rFonts w:ascii="Calibri" w:hAnsi="Calibri" w:cs="Calibri"/>
          <w:color w:val="000000"/>
          <w:sz w:val="22"/>
          <w:szCs w:val="22"/>
        </w:rPr>
        <w:t>anasanat</w:t>
      </w:r>
      <w:proofErr w:type="spellEnd"/>
      <w:r>
        <w:rPr>
          <w:rFonts w:ascii="Calibri" w:hAnsi="Calibri" w:cs="Calibri"/>
          <w:color w:val="000000"/>
          <w:sz w:val="22"/>
          <w:szCs w:val="22"/>
        </w:rPr>
        <w:t xml:space="preserve"> dalı başkanlığının önerisi ve Enstitü Yönetim Kurulunun onayıyla atanır. Jüri, üçü öğrencinin tez çalışması izleme komitesinde yer alan öğretim üyeleri ve en az ikisi Üniversite dışından olmak üzere danışman dâhil beş öğretim üyesinden oluşur. Danışmanın oy hakkı olup olmadığı hususunda Enstitü Yönetim Kurulu karar verir. Danışmanın oy hakkı olmaması durumunda jüri altı öğretim üyesinden oluşur. Ayrıca ikinci tez danışmanı oy hakkı olmaksızın jüride yer alabilir.</w:t>
      </w:r>
    </w:p>
    <w:p w:rsidR="00301637" w:rsidRDefault="00301637" w:rsidP="00301637">
      <w:pPr>
        <w:pStyle w:val="metin"/>
        <w:spacing w:before="0" w:beforeAutospacing="0" w:after="0" w:afterAutospacing="0"/>
        <w:ind w:firstLine="566"/>
        <w:jc w:val="both"/>
      </w:pPr>
      <w:r>
        <w:rPr>
          <w:rFonts w:ascii="Calibri" w:hAnsi="Calibri" w:cs="Calibri"/>
          <w:color w:val="000000"/>
          <w:sz w:val="22"/>
          <w:szCs w:val="22"/>
        </w:rPr>
        <w:t>(6) Tez çalışması savunma jürisinin oluşturulmasıyla ilgili diğer hususlar Senatonun belirlediği uygulama esaslarına göre yürütülür.</w:t>
      </w:r>
    </w:p>
    <w:p w:rsidR="00301637" w:rsidRDefault="00301637" w:rsidP="00301637">
      <w:pPr>
        <w:pStyle w:val="metin"/>
        <w:spacing w:before="0" w:beforeAutospacing="0" w:after="0" w:afterAutospacing="0"/>
        <w:ind w:firstLine="566"/>
        <w:jc w:val="both"/>
      </w:pPr>
      <w:r>
        <w:rPr>
          <w:rFonts w:ascii="Calibri" w:hAnsi="Calibri" w:cs="Calibri"/>
          <w:color w:val="000000"/>
          <w:sz w:val="22"/>
          <w:szCs w:val="22"/>
        </w:rPr>
        <w:t>(7) Jüri üyeleri, söz konusu tezin kendilerine teslim edildiği tarihten itibaren en geç bir ay içinde toplanarak öğrenciyi tez savunma sınavına alır. Tez savunma sınavı, tez çalışmasının sunulması ve bunu izleyen soru-cevap bölümünden oluşur. Tez savunma sınavı, öğretim elemanları, lisansüstü öğrenciler ve alanın uzmanlarından oluşan dinleyicilerin katılımına açık ortamlarda gerçekleştirilir.</w:t>
      </w:r>
    </w:p>
    <w:p w:rsidR="00301637" w:rsidRDefault="00301637" w:rsidP="00301637">
      <w:pPr>
        <w:pStyle w:val="metin"/>
        <w:spacing w:before="0" w:beforeAutospacing="0" w:after="0" w:afterAutospacing="0"/>
        <w:ind w:firstLine="566"/>
        <w:jc w:val="both"/>
      </w:pPr>
      <w:r>
        <w:rPr>
          <w:rFonts w:ascii="Calibri" w:hAnsi="Calibri" w:cs="Calibri"/>
          <w:color w:val="000000"/>
          <w:sz w:val="22"/>
          <w:szCs w:val="22"/>
        </w:rPr>
        <w:t xml:space="preserve">(8) Tez savunma sınavının tamamlanmasından sonra jüri, dinleyicilere kapalı olarak tez hakkında, salt çoğunlukla kabul, ret veya düzeltme kararı verir. Karar, ilgili </w:t>
      </w:r>
      <w:proofErr w:type="spellStart"/>
      <w:r>
        <w:rPr>
          <w:rFonts w:ascii="Calibri" w:hAnsi="Calibri" w:cs="Calibri"/>
          <w:color w:val="000000"/>
          <w:sz w:val="22"/>
          <w:szCs w:val="22"/>
        </w:rPr>
        <w:t>anasanat</w:t>
      </w:r>
      <w:proofErr w:type="spellEnd"/>
      <w:r>
        <w:rPr>
          <w:rFonts w:ascii="Calibri" w:hAnsi="Calibri" w:cs="Calibri"/>
          <w:color w:val="000000"/>
          <w:sz w:val="22"/>
          <w:szCs w:val="22"/>
        </w:rPr>
        <w:t xml:space="preserve"> dalı başkanlığı tarafından sınavı izleyen üç iş günü içinde kişisel değerlendirme raporlarıyla birlikte Enstitüye tutanakla bildirilir. Ret kararı veren jüri üye/üyelerinin gerekçesi tutanağa eklenir. Tezi başarısız bulunarak reddedilen öğrencinin Enstitüyle ilişiği kesilir.</w:t>
      </w:r>
    </w:p>
    <w:p w:rsidR="00301637" w:rsidRDefault="00301637" w:rsidP="00301637">
      <w:pPr>
        <w:pStyle w:val="metin"/>
        <w:spacing w:before="0" w:beforeAutospacing="0" w:after="0" w:afterAutospacing="0"/>
        <w:ind w:firstLine="566"/>
        <w:jc w:val="both"/>
      </w:pPr>
      <w:r>
        <w:rPr>
          <w:rFonts w:ascii="Calibri" w:hAnsi="Calibri" w:cs="Calibri"/>
          <w:color w:val="000000"/>
          <w:sz w:val="22"/>
          <w:szCs w:val="22"/>
        </w:rPr>
        <w:t>(9) Tezi hakkında düzeltme kararı verilen öğrenci, en geç altı ay içinde gerekli düzeltmeleri yaparak aynı jüri önünde tezini yeniden savunur. Bu savunmada da başarısız bulunan öğrencinin Enstitüyle ilişiği kesilir.</w:t>
      </w:r>
    </w:p>
    <w:p w:rsidR="00CE09E0" w:rsidRDefault="00301637"/>
    <w:p w:rsidR="00301637" w:rsidRDefault="00301637"/>
    <w:sectPr w:rsidR="003016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637"/>
    <w:rsid w:val="00301637"/>
    <w:rsid w:val="00B130A8"/>
    <w:rsid w:val="00B417E3"/>
    <w:rsid w:val="00BE1A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ED5A2"/>
  <w15:chartTrackingRefBased/>
  <w15:docId w15:val="{3C1A155C-4D87-49C4-896A-BCAFCFEEC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etin">
    <w:name w:val="metin"/>
    <w:basedOn w:val="Normal"/>
    <w:rsid w:val="0030163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30163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575482">
      <w:bodyDiv w:val="1"/>
      <w:marLeft w:val="0"/>
      <w:marRight w:val="0"/>
      <w:marTop w:val="0"/>
      <w:marBottom w:val="0"/>
      <w:divBdr>
        <w:top w:val="none" w:sz="0" w:space="0" w:color="auto"/>
        <w:left w:val="none" w:sz="0" w:space="0" w:color="auto"/>
        <w:bottom w:val="none" w:sz="0" w:space="0" w:color="auto"/>
        <w:right w:val="none" w:sz="0" w:space="0" w:color="auto"/>
      </w:divBdr>
    </w:div>
    <w:div w:id="908342974">
      <w:bodyDiv w:val="1"/>
      <w:marLeft w:val="0"/>
      <w:marRight w:val="0"/>
      <w:marTop w:val="0"/>
      <w:marBottom w:val="0"/>
      <w:divBdr>
        <w:top w:val="none" w:sz="0" w:space="0" w:color="auto"/>
        <w:left w:val="none" w:sz="0" w:space="0" w:color="auto"/>
        <w:bottom w:val="none" w:sz="0" w:space="0" w:color="auto"/>
        <w:right w:val="none" w:sz="0" w:space="0" w:color="auto"/>
      </w:divBdr>
    </w:div>
    <w:div w:id="1192306656">
      <w:bodyDiv w:val="1"/>
      <w:marLeft w:val="0"/>
      <w:marRight w:val="0"/>
      <w:marTop w:val="0"/>
      <w:marBottom w:val="0"/>
      <w:divBdr>
        <w:top w:val="none" w:sz="0" w:space="0" w:color="auto"/>
        <w:left w:val="none" w:sz="0" w:space="0" w:color="auto"/>
        <w:bottom w:val="none" w:sz="0" w:space="0" w:color="auto"/>
        <w:right w:val="none" w:sz="0" w:space="0" w:color="auto"/>
      </w:divBdr>
    </w:div>
    <w:div w:id="152628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1109</Words>
  <Characters>6327</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Zuhal Nazım</dc:creator>
  <cp:keywords/>
  <dc:description/>
  <cp:lastModifiedBy>Zuhal Nazım</cp:lastModifiedBy>
  <cp:revision>1</cp:revision>
  <dcterms:created xsi:type="dcterms:W3CDTF">2021-06-07T12:48:00Z</dcterms:created>
  <dcterms:modified xsi:type="dcterms:W3CDTF">2021-06-07T12:50:00Z</dcterms:modified>
</cp:coreProperties>
</file>